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03F0" w14:textId="77777777" w:rsidR="00BD5823" w:rsidRPr="00BD5823" w:rsidRDefault="00BD5823" w:rsidP="00BD5823">
      <w:r w:rsidRPr="00BD5823">
        <w:t>Practice Policy: Use of AI Scribes and Ambient Voice Technology</w:t>
      </w:r>
    </w:p>
    <w:p w14:paraId="4658C2DD" w14:textId="77777777" w:rsidR="00BD5823" w:rsidRPr="00BD5823" w:rsidRDefault="00BD5823" w:rsidP="00BD5823">
      <w:pPr>
        <w:numPr>
          <w:ilvl w:val="0"/>
          <w:numId w:val="1"/>
        </w:numPr>
      </w:pPr>
      <w:r w:rsidRPr="00BD5823">
        <w:t>Purpose and scope</w:t>
      </w:r>
    </w:p>
    <w:p w14:paraId="5638665C" w14:textId="77777777" w:rsidR="00BD5823" w:rsidRPr="00BD5823" w:rsidRDefault="00BD5823" w:rsidP="00BD5823">
      <w:pPr>
        <w:numPr>
          <w:ilvl w:val="0"/>
          <w:numId w:val="2"/>
        </w:numPr>
      </w:pPr>
      <w:r w:rsidRPr="00BD5823">
        <w:t>Define how AI scribes/ambient voice tools will be used to improve documentation efficiency, reduce admin burden, and enhance patient-clinician communication.</w:t>
      </w:r>
    </w:p>
    <w:p w14:paraId="4CBBBB9A" w14:textId="77777777" w:rsidR="00BD5823" w:rsidRPr="00BD5823" w:rsidRDefault="00BD5823" w:rsidP="00BD5823">
      <w:pPr>
        <w:numPr>
          <w:ilvl w:val="0"/>
          <w:numId w:val="2"/>
        </w:numPr>
      </w:pPr>
      <w:r w:rsidRPr="00BD5823">
        <w:t>Applies to all staff using or supervising such tools in consultations (face-to-face, telephone, video) and in admin tasks.</w:t>
      </w:r>
    </w:p>
    <w:p w14:paraId="5918D72A" w14:textId="77777777" w:rsidR="00BD5823" w:rsidRPr="00BD5823" w:rsidRDefault="00BD5823" w:rsidP="00BD5823">
      <w:pPr>
        <w:numPr>
          <w:ilvl w:val="0"/>
          <w:numId w:val="3"/>
        </w:numPr>
      </w:pPr>
      <w:r w:rsidRPr="00BD5823">
        <w:t>Governance, approval and procurement</w:t>
      </w:r>
    </w:p>
    <w:p w14:paraId="29034664" w14:textId="77777777" w:rsidR="00BD5823" w:rsidRPr="00BD5823" w:rsidRDefault="00BD5823" w:rsidP="00BD5823">
      <w:pPr>
        <w:numPr>
          <w:ilvl w:val="0"/>
          <w:numId w:val="4"/>
        </w:numPr>
      </w:pPr>
      <w:r w:rsidRPr="00BD5823">
        <w:t>Any AI scribe/ambient tool must:</w:t>
      </w:r>
    </w:p>
    <w:p w14:paraId="7DB045E3" w14:textId="77777777" w:rsidR="00BD5823" w:rsidRPr="00BD5823" w:rsidRDefault="00BD5823" w:rsidP="00BD5823">
      <w:pPr>
        <w:numPr>
          <w:ilvl w:val="1"/>
          <w:numId w:val="4"/>
        </w:numPr>
      </w:pPr>
      <w:r w:rsidRPr="00BD5823">
        <w:t>Be treated as a medical device if it performs clinical functions such as triage/decision support; supplier to confirm MHRA registration and CE/UKCA marking where applicable.</w:t>
      </w:r>
    </w:p>
    <w:p w14:paraId="6E761451" w14:textId="77777777" w:rsidR="00BD5823" w:rsidRPr="00BD5823" w:rsidRDefault="00BD5823" w:rsidP="00BD5823">
      <w:pPr>
        <w:numPr>
          <w:ilvl w:val="1"/>
          <w:numId w:val="4"/>
        </w:numPr>
      </w:pPr>
      <w:r w:rsidRPr="00BD5823">
        <w:t>Conform with DCB0129 (supplier clinical risk management) and DCB0160 (deployment/use risk management), with signed clinical safety case and hazard log.</w:t>
      </w:r>
    </w:p>
    <w:p w14:paraId="42F65532" w14:textId="77777777" w:rsidR="00BD5823" w:rsidRPr="00BD5823" w:rsidRDefault="00BD5823" w:rsidP="00BD5823">
      <w:pPr>
        <w:numPr>
          <w:ilvl w:val="1"/>
          <w:numId w:val="4"/>
        </w:numPr>
      </w:pPr>
      <w:r w:rsidRPr="00BD5823">
        <w:t>Have a named supplier Clinical Safety Officer and share annual safety reports.</w:t>
      </w:r>
    </w:p>
    <w:p w14:paraId="7F2F3D0C" w14:textId="77777777" w:rsidR="00BD5823" w:rsidRPr="00BD5823" w:rsidRDefault="00BD5823" w:rsidP="00BD5823">
      <w:pPr>
        <w:numPr>
          <w:ilvl w:val="1"/>
          <w:numId w:val="4"/>
        </w:numPr>
      </w:pPr>
      <w:r w:rsidRPr="00BD5823">
        <w:t>Hold Cyber Essentials (minimum) and complete the NHS Data Security and Protection Toolkit (DSPT).</w:t>
      </w:r>
    </w:p>
    <w:p w14:paraId="5245E60D" w14:textId="77777777" w:rsidR="00BD5823" w:rsidRPr="00BD5823" w:rsidRDefault="00BD5823" w:rsidP="00BD5823">
      <w:pPr>
        <w:numPr>
          <w:ilvl w:val="1"/>
          <w:numId w:val="4"/>
        </w:numPr>
      </w:pPr>
      <w:r w:rsidRPr="00BD5823">
        <w:t>Use recognised clinical coding (e.g. SNOMED CT) for any write-back to the EHR.</w:t>
      </w:r>
    </w:p>
    <w:p w14:paraId="5E9761C1" w14:textId="77777777" w:rsidR="00BD5823" w:rsidRPr="00BD5823" w:rsidRDefault="00BD5823" w:rsidP="00BD5823">
      <w:pPr>
        <w:numPr>
          <w:ilvl w:val="1"/>
          <w:numId w:val="4"/>
        </w:numPr>
      </w:pPr>
      <w:r w:rsidRPr="00BD5823">
        <w:t>Store and process data within the UK (or UK-approved adequacy regime) with clear data processing agreements; no secondary use without explicit practice approval and patient consent.</w:t>
      </w:r>
    </w:p>
    <w:p w14:paraId="708E0B91" w14:textId="77777777" w:rsidR="00BD5823" w:rsidRPr="00BD5823" w:rsidRDefault="00BD5823" w:rsidP="00BD5823">
      <w:pPr>
        <w:numPr>
          <w:ilvl w:val="0"/>
          <w:numId w:val="4"/>
        </w:numPr>
      </w:pPr>
      <w:r w:rsidRPr="00BD5823">
        <w:t>The practice Caldicott Guardian/IG lead and Clinical Safety Lead must sign off before pilot or rollout.</w:t>
      </w:r>
    </w:p>
    <w:p w14:paraId="145EAD71" w14:textId="77777777" w:rsidR="00BD5823" w:rsidRPr="00BD5823" w:rsidRDefault="00BD5823" w:rsidP="00BD5823">
      <w:pPr>
        <w:numPr>
          <w:ilvl w:val="0"/>
          <w:numId w:val="5"/>
        </w:numPr>
      </w:pPr>
      <w:r w:rsidRPr="00BD5823">
        <w:t>Data protection and information governance</w:t>
      </w:r>
    </w:p>
    <w:p w14:paraId="0F3093F5" w14:textId="77777777" w:rsidR="00BD5823" w:rsidRPr="00BD5823" w:rsidRDefault="00BD5823" w:rsidP="00BD5823">
      <w:pPr>
        <w:numPr>
          <w:ilvl w:val="0"/>
          <w:numId w:val="6"/>
        </w:numPr>
      </w:pPr>
      <w:r w:rsidRPr="00BD5823">
        <w:t>The practice is Data Controller; the vendor is Data Processor under UK GDPR.</w:t>
      </w:r>
    </w:p>
    <w:p w14:paraId="55A8D18E" w14:textId="77777777" w:rsidR="00BD5823" w:rsidRPr="00BD5823" w:rsidRDefault="00BD5823" w:rsidP="00BD5823">
      <w:pPr>
        <w:numPr>
          <w:ilvl w:val="0"/>
          <w:numId w:val="6"/>
        </w:numPr>
      </w:pPr>
      <w:r w:rsidRPr="00BD5823">
        <w:t>Data Processing Agreement must cover:</w:t>
      </w:r>
    </w:p>
    <w:p w14:paraId="487C0D3A" w14:textId="77777777" w:rsidR="00BD5823" w:rsidRPr="00BD5823" w:rsidRDefault="00BD5823" w:rsidP="00BD5823">
      <w:pPr>
        <w:numPr>
          <w:ilvl w:val="1"/>
          <w:numId w:val="6"/>
        </w:numPr>
      </w:pPr>
      <w:r w:rsidRPr="00BD5823">
        <w:t>Purpose, lawful basis, retention, deletion, security, sub-processors, international transfers, audit rights, breach reporting (within 72 hours to the practice).</w:t>
      </w:r>
    </w:p>
    <w:p w14:paraId="5A143F56" w14:textId="77777777" w:rsidR="00BD5823" w:rsidRPr="00BD5823" w:rsidRDefault="00BD5823" w:rsidP="00BD5823">
      <w:pPr>
        <w:numPr>
          <w:ilvl w:val="0"/>
          <w:numId w:val="6"/>
        </w:numPr>
      </w:pPr>
      <w:r w:rsidRPr="00BD5823">
        <w:t>Identity verification and access controls:</w:t>
      </w:r>
    </w:p>
    <w:p w14:paraId="55CEBB34" w14:textId="77777777" w:rsidR="00BD5823" w:rsidRPr="00BD5823" w:rsidRDefault="00BD5823" w:rsidP="00BD5823">
      <w:pPr>
        <w:numPr>
          <w:ilvl w:val="1"/>
          <w:numId w:val="6"/>
        </w:numPr>
      </w:pPr>
      <w:r w:rsidRPr="00BD5823">
        <w:lastRenderedPageBreak/>
        <w:t>Role-based access; multi-factor authentication for any web portals.</w:t>
      </w:r>
    </w:p>
    <w:p w14:paraId="76F0A87B" w14:textId="77777777" w:rsidR="00BD5823" w:rsidRPr="00BD5823" w:rsidRDefault="00BD5823" w:rsidP="00BD5823">
      <w:pPr>
        <w:numPr>
          <w:ilvl w:val="0"/>
          <w:numId w:val="6"/>
        </w:numPr>
      </w:pPr>
      <w:r w:rsidRPr="00BD5823">
        <w:t>Recording and retention:</w:t>
      </w:r>
    </w:p>
    <w:p w14:paraId="097C7AC9" w14:textId="77777777" w:rsidR="00BD5823" w:rsidRPr="00BD5823" w:rsidRDefault="00BD5823" w:rsidP="00BD5823">
      <w:pPr>
        <w:numPr>
          <w:ilvl w:val="1"/>
          <w:numId w:val="6"/>
        </w:numPr>
      </w:pPr>
      <w:r w:rsidRPr="00BD5823">
        <w:t xml:space="preserve">Only clinical notes produced by the clinician and </w:t>
      </w:r>
      <w:proofErr w:type="gramStart"/>
      <w:r w:rsidRPr="00BD5823">
        <w:t>entered into</w:t>
      </w:r>
      <w:proofErr w:type="gramEnd"/>
      <w:r w:rsidRPr="00BD5823">
        <w:t xml:space="preserve"> the EHR are the legal record.</w:t>
      </w:r>
    </w:p>
    <w:p w14:paraId="077F2D7E" w14:textId="77777777" w:rsidR="00BD5823" w:rsidRPr="00BD5823" w:rsidRDefault="00BD5823" w:rsidP="00BD5823">
      <w:pPr>
        <w:numPr>
          <w:ilvl w:val="1"/>
          <w:numId w:val="6"/>
        </w:numPr>
      </w:pPr>
      <w:r w:rsidRPr="00BD5823">
        <w:t>Any raw audio/transcripts stored by the supplier must have minimal necessary retention with automatic deletion timelines agreed.</w:t>
      </w:r>
    </w:p>
    <w:p w14:paraId="3500DE4A" w14:textId="77777777" w:rsidR="00BD5823" w:rsidRPr="00BD5823" w:rsidRDefault="00BD5823" w:rsidP="00BD5823">
      <w:pPr>
        <w:numPr>
          <w:ilvl w:val="0"/>
          <w:numId w:val="6"/>
        </w:numPr>
      </w:pPr>
      <w:r w:rsidRPr="00BD5823">
        <w:t>No use of recordings for model training unless explicit, opt-in patient consent is obtained.</w:t>
      </w:r>
    </w:p>
    <w:p w14:paraId="7D5C9A77" w14:textId="77777777" w:rsidR="00BD5823" w:rsidRPr="00BD5823" w:rsidRDefault="00BD5823" w:rsidP="00BD5823">
      <w:pPr>
        <w:numPr>
          <w:ilvl w:val="0"/>
          <w:numId w:val="7"/>
        </w:numPr>
      </w:pPr>
      <w:r w:rsidRPr="00BD5823">
        <w:t>Clinical safety and operating model</w:t>
      </w:r>
    </w:p>
    <w:p w14:paraId="649EC269" w14:textId="77777777" w:rsidR="00BD5823" w:rsidRPr="00BD5823" w:rsidRDefault="00BD5823" w:rsidP="00BD5823">
      <w:pPr>
        <w:numPr>
          <w:ilvl w:val="0"/>
          <w:numId w:val="8"/>
        </w:numPr>
      </w:pPr>
      <w:r w:rsidRPr="00BD5823">
        <w:t>The AI output is a draft only. The responsible clinician:</w:t>
      </w:r>
    </w:p>
    <w:p w14:paraId="399527A9" w14:textId="77777777" w:rsidR="00BD5823" w:rsidRPr="00BD5823" w:rsidRDefault="00BD5823" w:rsidP="00BD5823">
      <w:pPr>
        <w:numPr>
          <w:ilvl w:val="1"/>
          <w:numId w:val="8"/>
        </w:numPr>
      </w:pPr>
      <w:r w:rsidRPr="00BD5823">
        <w:t>Reviews, edits, and signs off every note before filing.</w:t>
      </w:r>
    </w:p>
    <w:p w14:paraId="2A1F5F5A" w14:textId="77777777" w:rsidR="00BD5823" w:rsidRPr="00BD5823" w:rsidRDefault="00BD5823" w:rsidP="00BD5823">
      <w:pPr>
        <w:numPr>
          <w:ilvl w:val="1"/>
          <w:numId w:val="8"/>
        </w:numPr>
      </w:pPr>
      <w:r w:rsidRPr="00BD5823">
        <w:t>Confirms key clinical elements (history, exam, assessment, plan, safety netting).</w:t>
      </w:r>
    </w:p>
    <w:p w14:paraId="1099DB30" w14:textId="77777777" w:rsidR="00BD5823" w:rsidRPr="00BD5823" w:rsidRDefault="00BD5823" w:rsidP="00BD5823">
      <w:pPr>
        <w:numPr>
          <w:ilvl w:val="1"/>
          <w:numId w:val="8"/>
        </w:numPr>
      </w:pPr>
      <w:r w:rsidRPr="00BD5823">
        <w:t>Ensures any suggested codes, tasks, referrals, or prescriptions are clinician-verified before action.</w:t>
      </w:r>
    </w:p>
    <w:p w14:paraId="797A6B98" w14:textId="77777777" w:rsidR="00BD5823" w:rsidRPr="00BD5823" w:rsidRDefault="00BD5823" w:rsidP="00BD5823">
      <w:pPr>
        <w:numPr>
          <w:ilvl w:val="0"/>
          <w:numId w:val="8"/>
        </w:numPr>
      </w:pPr>
      <w:r w:rsidRPr="00BD5823">
        <w:t>The tool must not be used for autonomous triage or decision-making.</w:t>
      </w:r>
    </w:p>
    <w:p w14:paraId="687E9808" w14:textId="77777777" w:rsidR="00BD5823" w:rsidRPr="00BD5823" w:rsidRDefault="00BD5823" w:rsidP="00BD5823">
      <w:pPr>
        <w:numPr>
          <w:ilvl w:val="0"/>
          <w:numId w:val="8"/>
        </w:numPr>
      </w:pPr>
      <w:r w:rsidRPr="00BD5823">
        <w:t>If the tool includes symptom checking or routing, outputs must be captured into the patient record and reviewed by a clinician; the function must be CE/UKCA-marked if used for medical purpose.</w:t>
      </w:r>
    </w:p>
    <w:p w14:paraId="5B9B67CF" w14:textId="77777777" w:rsidR="00BD5823" w:rsidRPr="00BD5823" w:rsidRDefault="00BD5823" w:rsidP="00BD5823">
      <w:pPr>
        <w:numPr>
          <w:ilvl w:val="0"/>
          <w:numId w:val="8"/>
        </w:numPr>
      </w:pPr>
      <w:r w:rsidRPr="00BD5823">
        <w:t>Known risks and mitigations:</w:t>
      </w:r>
    </w:p>
    <w:p w14:paraId="73EA6888" w14:textId="77777777" w:rsidR="00BD5823" w:rsidRPr="00BD5823" w:rsidRDefault="00BD5823" w:rsidP="00BD5823">
      <w:pPr>
        <w:numPr>
          <w:ilvl w:val="1"/>
          <w:numId w:val="8"/>
        </w:numPr>
      </w:pPr>
      <w:r w:rsidRPr="00BD5823">
        <w:t>Hallucination/omission: clinician verification mandatory.</w:t>
      </w:r>
    </w:p>
    <w:p w14:paraId="02B91EAC" w14:textId="77777777" w:rsidR="00BD5823" w:rsidRPr="00BD5823" w:rsidRDefault="00BD5823" w:rsidP="00BD5823">
      <w:pPr>
        <w:numPr>
          <w:ilvl w:val="1"/>
          <w:numId w:val="8"/>
        </w:numPr>
      </w:pPr>
      <w:proofErr w:type="gramStart"/>
      <w:r w:rsidRPr="00BD5823">
        <w:t>Mis-attribution</w:t>
      </w:r>
      <w:proofErr w:type="gramEnd"/>
      <w:r w:rsidRPr="00BD5823">
        <w:t xml:space="preserve"> in multi-speaker settings: clinician to correct.</w:t>
      </w:r>
    </w:p>
    <w:p w14:paraId="12DA6A4E" w14:textId="77777777" w:rsidR="00BD5823" w:rsidRPr="00BD5823" w:rsidRDefault="00BD5823" w:rsidP="00BD5823">
      <w:pPr>
        <w:numPr>
          <w:ilvl w:val="1"/>
          <w:numId w:val="8"/>
        </w:numPr>
      </w:pPr>
      <w:r w:rsidRPr="00BD5823">
        <w:t>Technical failure: revert to standard documentation; no clinical delay.</w:t>
      </w:r>
    </w:p>
    <w:p w14:paraId="602CE031" w14:textId="77777777" w:rsidR="00BD5823" w:rsidRPr="00BD5823" w:rsidRDefault="00BD5823" w:rsidP="00BD5823">
      <w:pPr>
        <w:numPr>
          <w:ilvl w:val="1"/>
          <w:numId w:val="8"/>
        </w:numPr>
      </w:pPr>
      <w:r w:rsidRPr="00BD5823">
        <w:t>Data loss/breach: follow practice data breach policy and notify ICO where required.</w:t>
      </w:r>
    </w:p>
    <w:p w14:paraId="34A1AEF0" w14:textId="77777777" w:rsidR="00BD5823" w:rsidRPr="00BD5823" w:rsidRDefault="00BD5823" w:rsidP="00BD5823">
      <w:pPr>
        <w:numPr>
          <w:ilvl w:val="0"/>
          <w:numId w:val="9"/>
        </w:numPr>
      </w:pPr>
      <w:r w:rsidRPr="00BD5823">
        <w:t>Patient information, consent and opt-out</w:t>
      </w:r>
    </w:p>
    <w:p w14:paraId="39C0FFAF" w14:textId="77777777" w:rsidR="00BD5823" w:rsidRPr="00BD5823" w:rsidRDefault="00BD5823" w:rsidP="00BD5823">
      <w:pPr>
        <w:numPr>
          <w:ilvl w:val="0"/>
          <w:numId w:val="10"/>
        </w:numPr>
      </w:pPr>
      <w:r w:rsidRPr="00BD5823">
        <w:t>Transparent notice displayed in waiting areas, website, and at consultation start scripts:</w:t>
      </w:r>
    </w:p>
    <w:p w14:paraId="3C1DB5E4" w14:textId="77777777" w:rsidR="00BD5823" w:rsidRPr="00BD5823" w:rsidRDefault="00BD5823" w:rsidP="00BD5823">
      <w:pPr>
        <w:numPr>
          <w:ilvl w:val="1"/>
          <w:numId w:val="10"/>
        </w:numPr>
      </w:pPr>
      <w:r w:rsidRPr="00BD5823">
        <w:t>Explains purpose of ambient AI, what is captured, how data is protected, and that the clinician will verify the record.</w:t>
      </w:r>
    </w:p>
    <w:p w14:paraId="5AD7B315" w14:textId="77777777" w:rsidR="00BD5823" w:rsidRPr="00BD5823" w:rsidRDefault="00BD5823" w:rsidP="00BD5823">
      <w:pPr>
        <w:numPr>
          <w:ilvl w:val="0"/>
          <w:numId w:val="10"/>
        </w:numPr>
      </w:pPr>
      <w:r w:rsidRPr="00BD5823">
        <w:t>Consent approach:</w:t>
      </w:r>
    </w:p>
    <w:p w14:paraId="1FFE22DE" w14:textId="77777777" w:rsidR="00BD5823" w:rsidRPr="00BD5823" w:rsidRDefault="00BD5823" w:rsidP="00BD5823">
      <w:pPr>
        <w:numPr>
          <w:ilvl w:val="1"/>
          <w:numId w:val="10"/>
        </w:numPr>
      </w:pPr>
      <w:r w:rsidRPr="00BD5823">
        <w:lastRenderedPageBreak/>
        <w:t>Verbal consent at the start of each consultation when ambient capture is used, recorded in the notes.</w:t>
      </w:r>
    </w:p>
    <w:p w14:paraId="738C6A40" w14:textId="77777777" w:rsidR="00BD5823" w:rsidRPr="00BD5823" w:rsidRDefault="00BD5823" w:rsidP="00BD5823">
      <w:pPr>
        <w:numPr>
          <w:ilvl w:val="1"/>
          <w:numId w:val="10"/>
        </w:numPr>
      </w:pPr>
      <w:r w:rsidRPr="00BD5823">
        <w:t>Offer a simple opt-out with no impact on care; document opt-outs and ensure the tool is disabled for that encounter.</w:t>
      </w:r>
    </w:p>
    <w:p w14:paraId="6CD4FDA7" w14:textId="77777777" w:rsidR="00BD5823" w:rsidRPr="00BD5823" w:rsidRDefault="00BD5823" w:rsidP="00BD5823">
      <w:pPr>
        <w:numPr>
          <w:ilvl w:val="0"/>
          <w:numId w:val="10"/>
        </w:numPr>
      </w:pPr>
      <w:r w:rsidRPr="00BD5823">
        <w:t>AIS (Accessible Information Standard) compliance:</w:t>
      </w:r>
    </w:p>
    <w:p w14:paraId="4213D8CB" w14:textId="77777777" w:rsidR="00BD5823" w:rsidRPr="00BD5823" w:rsidRDefault="00BD5823" w:rsidP="00BD5823">
      <w:pPr>
        <w:numPr>
          <w:ilvl w:val="1"/>
          <w:numId w:val="10"/>
        </w:numPr>
      </w:pPr>
      <w:r w:rsidRPr="00BD5823">
        <w:t>Provide information in accessible formats on request (e.g. large print, easy read, BSL interpreter availability).</w:t>
      </w:r>
    </w:p>
    <w:p w14:paraId="0E70B798" w14:textId="77777777" w:rsidR="00BD5823" w:rsidRPr="00BD5823" w:rsidRDefault="00BD5823" w:rsidP="00BD5823">
      <w:pPr>
        <w:numPr>
          <w:ilvl w:val="0"/>
          <w:numId w:val="10"/>
        </w:numPr>
      </w:pPr>
      <w:r w:rsidRPr="00BD5823">
        <w:t>Safeguarding and sensitive contexts:</w:t>
      </w:r>
    </w:p>
    <w:p w14:paraId="153FFF83" w14:textId="77777777" w:rsidR="00BD5823" w:rsidRPr="00BD5823" w:rsidRDefault="00BD5823" w:rsidP="00BD5823">
      <w:pPr>
        <w:numPr>
          <w:ilvl w:val="1"/>
          <w:numId w:val="10"/>
        </w:numPr>
      </w:pPr>
      <w:r w:rsidRPr="00BD5823">
        <w:t xml:space="preserve">Do not use ambient recording for patients under 16, safeguarding concerns, intimate examinations, or when breaking bad news unless specifically justified and </w:t>
      </w:r>
      <w:proofErr w:type="gramStart"/>
      <w:r w:rsidRPr="00BD5823">
        <w:t>consented;</w:t>
      </w:r>
      <w:proofErr w:type="gramEnd"/>
      <w:r w:rsidRPr="00BD5823">
        <w:t xml:space="preserve"> default to manual documentation.</w:t>
      </w:r>
    </w:p>
    <w:p w14:paraId="533A0E65" w14:textId="77777777" w:rsidR="00BD5823" w:rsidRPr="00BD5823" w:rsidRDefault="00BD5823" w:rsidP="00BD5823">
      <w:pPr>
        <w:numPr>
          <w:ilvl w:val="0"/>
          <w:numId w:val="11"/>
        </w:numPr>
      </w:pPr>
      <w:r w:rsidRPr="00BD5823">
        <w:t>Staff training and responsibilities</w:t>
      </w:r>
    </w:p>
    <w:p w14:paraId="75470F4E" w14:textId="77777777" w:rsidR="00BD5823" w:rsidRPr="00BD5823" w:rsidRDefault="00BD5823" w:rsidP="00BD5823">
      <w:pPr>
        <w:numPr>
          <w:ilvl w:val="0"/>
          <w:numId w:val="12"/>
        </w:numPr>
      </w:pPr>
      <w:r w:rsidRPr="00BD5823">
        <w:t>Mandatory initial and annual refresher training covering:</w:t>
      </w:r>
    </w:p>
    <w:p w14:paraId="422322A4" w14:textId="77777777" w:rsidR="00BD5823" w:rsidRPr="00BD5823" w:rsidRDefault="00BD5823" w:rsidP="00BD5823">
      <w:pPr>
        <w:numPr>
          <w:ilvl w:val="1"/>
          <w:numId w:val="12"/>
        </w:numPr>
      </w:pPr>
      <w:r w:rsidRPr="00BD5823">
        <w:t>IG, confidentiality, safe use of AI scribes, clinical verification, and incident reporting.</w:t>
      </w:r>
    </w:p>
    <w:p w14:paraId="58F4B86E" w14:textId="77777777" w:rsidR="00BD5823" w:rsidRPr="00BD5823" w:rsidRDefault="00BD5823" w:rsidP="00BD5823">
      <w:pPr>
        <w:numPr>
          <w:ilvl w:val="0"/>
          <w:numId w:val="12"/>
        </w:numPr>
      </w:pPr>
      <w:r w:rsidRPr="00BD5823">
        <w:t>Named roles:</w:t>
      </w:r>
    </w:p>
    <w:p w14:paraId="3F543F69" w14:textId="77777777" w:rsidR="00BD5823" w:rsidRPr="00BD5823" w:rsidRDefault="00BD5823" w:rsidP="00BD5823">
      <w:pPr>
        <w:numPr>
          <w:ilvl w:val="1"/>
          <w:numId w:val="12"/>
        </w:numPr>
      </w:pPr>
      <w:r w:rsidRPr="00BD5823">
        <w:t>Clinical Safety Lead: oversees DCB0160, incident reviews.</w:t>
      </w:r>
    </w:p>
    <w:p w14:paraId="1E1164C1" w14:textId="77777777" w:rsidR="00BD5823" w:rsidRPr="00BD5823" w:rsidRDefault="00BD5823" w:rsidP="00BD5823">
      <w:pPr>
        <w:numPr>
          <w:ilvl w:val="1"/>
          <w:numId w:val="12"/>
        </w:numPr>
      </w:pPr>
      <w:r w:rsidRPr="00BD5823">
        <w:t>IG Lead/Caldicott Guardian: data governance and DPIA oversight.</w:t>
      </w:r>
    </w:p>
    <w:p w14:paraId="1C531024" w14:textId="77777777" w:rsidR="00BD5823" w:rsidRPr="00BD5823" w:rsidRDefault="00BD5823" w:rsidP="00BD5823">
      <w:pPr>
        <w:numPr>
          <w:ilvl w:val="1"/>
          <w:numId w:val="12"/>
        </w:numPr>
      </w:pPr>
      <w:r w:rsidRPr="00BD5823">
        <w:t>Digital Lead/Practice Manager: supplier management, updates, and audits.</w:t>
      </w:r>
    </w:p>
    <w:p w14:paraId="399EE841" w14:textId="77777777" w:rsidR="00BD5823" w:rsidRPr="00BD5823" w:rsidRDefault="00BD5823" w:rsidP="00BD5823">
      <w:pPr>
        <w:numPr>
          <w:ilvl w:val="0"/>
          <w:numId w:val="13"/>
        </w:numPr>
      </w:pPr>
      <w:r w:rsidRPr="00BD5823">
        <w:t>Deployment, capacity and workflow</w:t>
      </w:r>
    </w:p>
    <w:p w14:paraId="2040E1C7" w14:textId="77777777" w:rsidR="00BD5823" w:rsidRPr="00BD5823" w:rsidRDefault="00BD5823" w:rsidP="00BD5823">
      <w:pPr>
        <w:numPr>
          <w:ilvl w:val="0"/>
          <w:numId w:val="14"/>
        </w:numPr>
      </w:pPr>
      <w:r w:rsidRPr="00BD5823">
        <w:t>Pilot first with a small cohort of trained clinicians; evaluate admin time saved, quality, and safety incidents.</w:t>
      </w:r>
    </w:p>
    <w:p w14:paraId="742252CD" w14:textId="77777777" w:rsidR="00BD5823" w:rsidRPr="00BD5823" w:rsidRDefault="00BD5823" w:rsidP="00BD5823">
      <w:pPr>
        <w:numPr>
          <w:ilvl w:val="0"/>
          <w:numId w:val="14"/>
        </w:numPr>
      </w:pPr>
      <w:r w:rsidRPr="00BD5823">
        <w:t>Ensure the tool does not increase after-hours workload or reduce appointment capacity without agreement.</w:t>
      </w:r>
    </w:p>
    <w:p w14:paraId="63CF7590" w14:textId="77777777" w:rsidR="00BD5823" w:rsidRPr="00BD5823" w:rsidRDefault="00BD5823" w:rsidP="00BD5823">
      <w:pPr>
        <w:numPr>
          <w:ilvl w:val="0"/>
          <w:numId w:val="14"/>
        </w:numPr>
      </w:pPr>
      <w:r w:rsidRPr="00BD5823">
        <w:t>Configure templates to produce concise, high-quality summaries aligned with evidence-based protocols.</w:t>
      </w:r>
    </w:p>
    <w:p w14:paraId="28DDEF27" w14:textId="77777777" w:rsidR="00BD5823" w:rsidRPr="00BD5823" w:rsidRDefault="00BD5823" w:rsidP="00BD5823">
      <w:pPr>
        <w:numPr>
          <w:ilvl w:val="0"/>
          <w:numId w:val="14"/>
        </w:numPr>
      </w:pPr>
      <w:r w:rsidRPr="00BD5823">
        <w:t>Integration:</w:t>
      </w:r>
    </w:p>
    <w:p w14:paraId="652C7CD6" w14:textId="77777777" w:rsidR="00BD5823" w:rsidRPr="00BD5823" w:rsidRDefault="00BD5823" w:rsidP="00BD5823">
      <w:pPr>
        <w:numPr>
          <w:ilvl w:val="1"/>
          <w:numId w:val="14"/>
        </w:numPr>
      </w:pPr>
      <w:r w:rsidRPr="00BD5823">
        <w:t>Prefer direct EHR integration; avoid manual copy/paste to reduce error risk.</w:t>
      </w:r>
    </w:p>
    <w:p w14:paraId="76BE1D7E" w14:textId="77777777" w:rsidR="00BD5823" w:rsidRPr="00BD5823" w:rsidRDefault="00BD5823" w:rsidP="00BD5823">
      <w:pPr>
        <w:numPr>
          <w:ilvl w:val="1"/>
          <w:numId w:val="14"/>
        </w:numPr>
      </w:pPr>
      <w:r w:rsidRPr="00BD5823">
        <w:t>If manual transfer is unavoidable, implement double-check and audit sampling.</w:t>
      </w:r>
    </w:p>
    <w:p w14:paraId="767E5F5C" w14:textId="77777777" w:rsidR="00BD5823" w:rsidRPr="00BD5823" w:rsidRDefault="00BD5823" w:rsidP="00BD5823">
      <w:pPr>
        <w:numPr>
          <w:ilvl w:val="0"/>
          <w:numId w:val="15"/>
        </w:numPr>
      </w:pPr>
      <w:r w:rsidRPr="00BD5823">
        <w:lastRenderedPageBreak/>
        <w:t>Risk assessment and DPIA</w:t>
      </w:r>
    </w:p>
    <w:p w14:paraId="691D3E89" w14:textId="77777777" w:rsidR="00BD5823" w:rsidRPr="00BD5823" w:rsidRDefault="00BD5823" w:rsidP="00BD5823">
      <w:pPr>
        <w:numPr>
          <w:ilvl w:val="0"/>
          <w:numId w:val="16"/>
        </w:numPr>
      </w:pPr>
      <w:r w:rsidRPr="00BD5823">
        <w:t>Complete a DPIA before go-live and when features change.</w:t>
      </w:r>
    </w:p>
    <w:p w14:paraId="21F50030" w14:textId="77777777" w:rsidR="00BD5823" w:rsidRPr="00BD5823" w:rsidRDefault="00BD5823" w:rsidP="00BD5823">
      <w:pPr>
        <w:numPr>
          <w:ilvl w:val="0"/>
          <w:numId w:val="16"/>
        </w:numPr>
      </w:pPr>
      <w:r w:rsidRPr="00BD5823">
        <w:t xml:space="preserve">Maintain hazard log, risk register and mitigation </w:t>
      </w:r>
      <w:proofErr w:type="gramStart"/>
      <w:r w:rsidRPr="00BD5823">
        <w:t>plan;</w:t>
      </w:r>
      <w:proofErr w:type="gramEnd"/>
      <w:r w:rsidRPr="00BD5823">
        <w:t xml:space="preserve"> review quarterly.</w:t>
      </w:r>
    </w:p>
    <w:p w14:paraId="4F14F2ED" w14:textId="77777777" w:rsidR="00BD5823" w:rsidRPr="00BD5823" w:rsidRDefault="00BD5823" w:rsidP="00BD5823">
      <w:pPr>
        <w:numPr>
          <w:ilvl w:val="0"/>
          <w:numId w:val="16"/>
        </w:numPr>
      </w:pPr>
      <w:r w:rsidRPr="00BD5823">
        <w:t>Incident management:</w:t>
      </w:r>
    </w:p>
    <w:p w14:paraId="71B83E7E" w14:textId="77777777" w:rsidR="00BD5823" w:rsidRPr="00BD5823" w:rsidRDefault="00BD5823" w:rsidP="00BD5823">
      <w:pPr>
        <w:numPr>
          <w:ilvl w:val="1"/>
          <w:numId w:val="16"/>
        </w:numPr>
      </w:pPr>
      <w:r w:rsidRPr="00BD5823">
        <w:t>Log AI-related issues via existing significant event process; suppliers to participate in root cause analysis and corrective actions.</w:t>
      </w:r>
    </w:p>
    <w:p w14:paraId="44426428" w14:textId="77777777" w:rsidR="00BD5823" w:rsidRPr="00BD5823" w:rsidRDefault="00BD5823" w:rsidP="00BD5823">
      <w:pPr>
        <w:numPr>
          <w:ilvl w:val="1"/>
          <w:numId w:val="16"/>
        </w:numPr>
      </w:pPr>
      <w:r w:rsidRPr="00BD5823">
        <w:t>Where the AI is MHRA-registered, use the Yellow Card scheme for safety events relating to the device.</w:t>
      </w:r>
    </w:p>
    <w:p w14:paraId="42091A17" w14:textId="77777777" w:rsidR="00BD5823" w:rsidRPr="00BD5823" w:rsidRDefault="00BD5823" w:rsidP="00BD5823">
      <w:pPr>
        <w:numPr>
          <w:ilvl w:val="0"/>
          <w:numId w:val="17"/>
        </w:numPr>
      </w:pPr>
      <w:r w:rsidRPr="00BD5823">
        <w:t>Quality assurance and audit</w:t>
      </w:r>
    </w:p>
    <w:p w14:paraId="723AA9BD" w14:textId="77777777" w:rsidR="00BD5823" w:rsidRPr="00BD5823" w:rsidRDefault="00BD5823" w:rsidP="00BD5823">
      <w:pPr>
        <w:numPr>
          <w:ilvl w:val="0"/>
          <w:numId w:val="18"/>
        </w:numPr>
      </w:pPr>
      <w:r w:rsidRPr="00BD5823">
        <w:t>Monthly spot-audits of a sample of AI-generated notes:</w:t>
      </w:r>
    </w:p>
    <w:p w14:paraId="4F8E9924" w14:textId="77777777" w:rsidR="00BD5823" w:rsidRPr="00BD5823" w:rsidRDefault="00BD5823" w:rsidP="00BD5823">
      <w:pPr>
        <w:numPr>
          <w:ilvl w:val="1"/>
          <w:numId w:val="18"/>
        </w:numPr>
      </w:pPr>
      <w:r w:rsidRPr="00BD5823">
        <w:t>Accuracy of clinical content, correct coding, inclusion of safety netting and consent statement.</w:t>
      </w:r>
    </w:p>
    <w:p w14:paraId="2C95E00F" w14:textId="77777777" w:rsidR="00BD5823" w:rsidRPr="00BD5823" w:rsidRDefault="00BD5823" w:rsidP="00BD5823">
      <w:pPr>
        <w:numPr>
          <w:ilvl w:val="0"/>
          <w:numId w:val="18"/>
        </w:numPr>
      </w:pPr>
      <w:r w:rsidRPr="00BD5823">
        <w:t>KPIs to monitor:</w:t>
      </w:r>
    </w:p>
    <w:p w14:paraId="0CC15B18" w14:textId="77777777" w:rsidR="00BD5823" w:rsidRPr="00BD5823" w:rsidRDefault="00BD5823" w:rsidP="00BD5823">
      <w:pPr>
        <w:numPr>
          <w:ilvl w:val="1"/>
          <w:numId w:val="18"/>
        </w:numPr>
      </w:pPr>
      <w:r w:rsidRPr="00BD5823">
        <w:t>Documentation time per consult, rate of corrections, data errors, patient opt-out rate, incidents, and staff satisfaction.</w:t>
      </w:r>
    </w:p>
    <w:p w14:paraId="70D071AC" w14:textId="77777777" w:rsidR="00BD5823" w:rsidRPr="00BD5823" w:rsidRDefault="00BD5823" w:rsidP="00BD5823">
      <w:pPr>
        <w:numPr>
          <w:ilvl w:val="0"/>
          <w:numId w:val="18"/>
        </w:numPr>
      </w:pPr>
      <w:r w:rsidRPr="00BD5823">
        <w:t>Review meeting quarterly to decide continuation, change, or decommission.</w:t>
      </w:r>
    </w:p>
    <w:p w14:paraId="07A5B80B" w14:textId="77777777" w:rsidR="00BD5823" w:rsidRPr="00BD5823" w:rsidRDefault="00BD5823" w:rsidP="00BD5823">
      <w:pPr>
        <w:numPr>
          <w:ilvl w:val="0"/>
          <w:numId w:val="19"/>
        </w:numPr>
      </w:pPr>
      <w:r w:rsidRPr="00BD5823">
        <w:t>Special cases and exclusions</w:t>
      </w:r>
    </w:p>
    <w:p w14:paraId="7B92287A" w14:textId="77777777" w:rsidR="00BD5823" w:rsidRPr="00BD5823" w:rsidRDefault="00BD5823" w:rsidP="00BD5823">
      <w:pPr>
        <w:numPr>
          <w:ilvl w:val="0"/>
          <w:numId w:val="20"/>
        </w:numPr>
      </w:pPr>
      <w:r w:rsidRPr="00BD5823">
        <w:t>Do not use ambient capture for:</w:t>
      </w:r>
    </w:p>
    <w:p w14:paraId="3127D026" w14:textId="77777777" w:rsidR="00BD5823" w:rsidRPr="00BD5823" w:rsidRDefault="00BD5823" w:rsidP="00BD5823">
      <w:pPr>
        <w:numPr>
          <w:ilvl w:val="1"/>
          <w:numId w:val="20"/>
        </w:numPr>
      </w:pPr>
      <w:r w:rsidRPr="00BD5823">
        <w:t xml:space="preserve">Patients lacking capacity unless best </w:t>
      </w:r>
      <w:proofErr w:type="gramStart"/>
      <w:r w:rsidRPr="00BD5823">
        <w:t>interests</w:t>
      </w:r>
      <w:proofErr w:type="gramEnd"/>
      <w:r w:rsidRPr="00BD5823">
        <w:t xml:space="preserve"> assessment supports use and a consultee agrees; consider face-to-face without recording.</w:t>
      </w:r>
    </w:p>
    <w:p w14:paraId="5F691725" w14:textId="77777777" w:rsidR="00BD5823" w:rsidRPr="00BD5823" w:rsidRDefault="00BD5823" w:rsidP="00BD5823">
      <w:pPr>
        <w:numPr>
          <w:ilvl w:val="1"/>
          <w:numId w:val="20"/>
        </w:numPr>
      </w:pPr>
      <w:r w:rsidRPr="00BD5823">
        <w:t>Complex psychosocial issues, mental health crises, or where the presence of recording could inhibit disclosure.</w:t>
      </w:r>
    </w:p>
    <w:p w14:paraId="5DA9E25F" w14:textId="77777777" w:rsidR="00BD5823" w:rsidRPr="00BD5823" w:rsidRDefault="00BD5823" w:rsidP="00BD5823">
      <w:pPr>
        <w:numPr>
          <w:ilvl w:val="1"/>
          <w:numId w:val="20"/>
        </w:numPr>
      </w:pPr>
      <w:r w:rsidRPr="00BD5823">
        <w:t xml:space="preserve">Situations requiring interpreters unless interpreter consents and patient </w:t>
      </w:r>
      <w:proofErr w:type="gramStart"/>
      <w:r w:rsidRPr="00BD5823">
        <w:t>agrees</w:t>
      </w:r>
      <w:proofErr w:type="gramEnd"/>
      <w:r w:rsidRPr="00BD5823">
        <w:t>.</w:t>
      </w:r>
    </w:p>
    <w:p w14:paraId="595E40FC" w14:textId="77777777" w:rsidR="00BD5823" w:rsidRPr="00BD5823" w:rsidRDefault="00BD5823" w:rsidP="00BD5823">
      <w:pPr>
        <w:numPr>
          <w:ilvl w:val="0"/>
          <w:numId w:val="20"/>
        </w:numPr>
      </w:pPr>
      <w:r w:rsidRPr="00BD5823">
        <w:t>For remote consultations, ensure patients are informed at the outset and consent is recorded.</w:t>
      </w:r>
    </w:p>
    <w:p w14:paraId="0FEFE1A9" w14:textId="77777777" w:rsidR="00BD5823" w:rsidRPr="00BD5823" w:rsidRDefault="00BD5823" w:rsidP="00BD5823">
      <w:pPr>
        <w:numPr>
          <w:ilvl w:val="0"/>
          <w:numId w:val="21"/>
        </w:numPr>
      </w:pPr>
      <w:r w:rsidRPr="00BD5823">
        <w:t>Communications and records</w:t>
      </w:r>
    </w:p>
    <w:p w14:paraId="00B0C945" w14:textId="77777777" w:rsidR="00BD5823" w:rsidRPr="00BD5823" w:rsidRDefault="00BD5823" w:rsidP="00BD5823">
      <w:pPr>
        <w:numPr>
          <w:ilvl w:val="0"/>
          <w:numId w:val="22"/>
        </w:numPr>
      </w:pPr>
      <w:r w:rsidRPr="00BD5823">
        <w:t>Documentation must include:</w:t>
      </w:r>
    </w:p>
    <w:p w14:paraId="19260A60" w14:textId="77777777" w:rsidR="00BD5823" w:rsidRPr="00BD5823" w:rsidRDefault="00BD5823" w:rsidP="00BD5823">
      <w:pPr>
        <w:numPr>
          <w:ilvl w:val="1"/>
          <w:numId w:val="22"/>
        </w:numPr>
      </w:pPr>
      <w:r w:rsidRPr="00BD5823">
        <w:t>“Ambient AI used with patient verbal consent obtained; clinician reviewed and finalised record.”</w:t>
      </w:r>
    </w:p>
    <w:p w14:paraId="6368C217" w14:textId="77777777" w:rsidR="00BD5823" w:rsidRPr="00BD5823" w:rsidRDefault="00BD5823" w:rsidP="00BD5823">
      <w:pPr>
        <w:numPr>
          <w:ilvl w:val="1"/>
          <w:numId w:val="22"/>
        </w:numPr>
      </w:pPr>
      <w:r w:rsidRPr="00BD5823">
        <w:t>Any limitations (e.g. tool disabled on patient request).</w:t>
      </w:r>
    </w:p>
    <w:p w14:paraId="44EAE10E" w14:textId="77777777" w:rsidR="00BD5823" w:rsidRPr="00BD5823" w:rsidRDefault="00BD5823" w:rsidP="00BD5823">
      <w:pPr>
        <w:numPr>
          <w:ilvl w:val="0"/>
          <w:numId w:val="22"/>
        </w:numPr>
      </w:pPr>
      <w:r w:rsidRPr="00BD5823">
        <w:lastRenderedPageBreak/>
        <w:t>Provide patients with information on how to request copies or raise concerns/complaints about the technology through the practice complaints process and the NHS complaints procedure.</w:t>
      </w:r>
    </w:p>
    <w:p w14:paraId="01C8BF70" w14:textId="77777777" w:rsidR="00BD5823" w:rsidRPr="00BD5823" w:rsidRDefault="00BD5823" w:rsidP="00BD5823">
      <w:pPr>
        <w:numPr>
          <w:ilvl w:val="0"/>
          <w:numId w:val="23"/>
        </w:numPr>
      </w:pPr>
      <w:r w:rsidRPr="00BD5823">
        <w:t>Supplier management</w:t>
      </w:r>
    </w:p>
    <w:p w14:paraId="0D64EE01" w14:textId="77777777" w:rsidR="00BD5823" w:rsidRPr="00BD5823" w:rsidRDefault="00BD5823" w:rsidP="00BD5823">
      <w:pPr>
        <w:numPr>
          <w:ilvl w:val="0"/>
          <w:numId w:val="24"/>
        </w:numPr>
      </w:pPr>
      <w:r w:rsidRPr="00BD5823">
        <w:t>Contract to include uptime/SLA, incident response, audit support, patching cadence, pen-testing evidence, and prohibition of data sharing with third parties without written approval.</w:t>
      </w:r>
    </w:p>
    <w:p w14:paraId="740B4653" w14:textId="77777777" w:rsidR="00BD5823" w:rsidRPr="00BD5823" w:rsidRDefault="00BD5823" w:rsidP="00BD5823">
      <w:pPr>
        <w:numPr>
          <w:ilvl w:val="0"/>
          <w:numId w:val="24"/>
        </w:numPr>
      </w:pPr>
      <w:r w:rsidRPr="00BD5823">
        <w:t>Require notification and practice approval for any material model changes that may affect outputs.</w:t>
      </w:r>
    </w:p>
    <w:p w14:paraId="6F95C434" w14:textId="77777777" w:rsidR="00BD5823" w:rsidRPr="00BD5823" w:rsidRDefault="00BD5823" w:rsidP="00BD5823">
      <w:r w:rsidRPr="00BD5823">
        <w:t>References and helpful guidance</w:t>
      </w:r>
    </w:p>
    <w:p w14:paraId="5F94E803" w14:textId="77777777" w:rsidR="00BD5823" w:rsidRPr="00BD5823" w:rsidRDefault="00BD5823" w:rsidP="00BD5823">
      <w:pPr>
        <w:numPr>
          <w:ilvl w:val="0"/>
          <w:numId w:val="25"/>
        </w:numPr>
      </w:pPr>
      <w:r w:rsidRPr="00BD5823">
        <w:t>NHS clinical risk standards: DCB0129 and DCB0160</w:t>
      </w:r>
    </w:p>
    <w:p w14:paraId="6E95B54C" w14:textId="77777777" w:rsidR="00BD5823" w:rsidRPr="00BD5823" w:rsidRDefault="00BD5823" w:rsidP="00BD5823">
      <w:pPr>
        <w:numPr>
          <w:ilvl w:val="0"/>
          <w:numId w:val="25"/>
        </w:numPr>
      </w:pPr>
      <w:r w:rsidRPr="00BD5823">
        <w:t>NHS Data Security and Protection Toolkit</w:t>
      </w:r>
    </w:p>
    <w:p w14:paraId="00590845" w14:textId="77777777" w:rsidR="00BD5823" w:rsidRPr="00BD5823" w:rsidRDefault="00BD5823" w:rsidP="00BD5823">
      <w:pPr>
        <w:numPr>
          <w:ilvl w:val="0"/>
          <w:numId w:val="25"/>
        </w:numPr>
      </w:pPr>
      <w:r w:rsidRPr="00BD5823">
        <w:t>MHRA guidance on software and AI as a medical device; Yellow Card scheme</w:t>
      </w:r>
    </w:p>
    <w:p w14:paraId="729EE2A8" w14:textId="77777777" w:rsidR="00BD5823" w:rsidRPr="00BD5823" w:rsidRDefault="00BD5823" w:rsidP="00BD5823">
      <w:pPr>
        <w:numPr>
          <w:ilvl w:val="0"/>
          <w:numId w:val="25"/>
        </w:numPr>
      </w:pPr>
      <w:r w:rsidRPr="00BD5823">
        <w:t xml:space="preserve">BMA: Following the Accessible Information Standard (AIS) – direct link: </w:t>
      </w:r>
      <w:hyperlink r:id="rId5" w:tgtFrame="_blank" w:history="1">
        <w:r w:rsidRPr="00BD5823">
          <w:rPr>
            <w:rStyle w:val="Hyperlink"/>
          </w:rPr>
          <w:t>https://www.bma.org.uk/advice-and-support/gp-practices/communication-with-patients/following-the-accessible-information-standard</w:t>
        </w:r>
      </w:hyperlink>
    </w:p>
    <w:p w14:paraId="546A2B96" w14:textId="77777777" w:rsidR="00BD5823" w:rsidRPr="00BD5823" w:rsidRDefault="00BD5823" w:rsidP="00BD5823">
      <w:pPr>
        <w:numPr>
          <w:ilvl w:val="0"/>
          <w:numId w:val="25"/>
        </w:numPr>
      </w:pPr>
      <w:r w:rsidRPr="00BD5823">
        <w:t>BMA: Choosing an online GP consultation platform (security, governance, and AI/symptom checker integration requirements)</w:t>
      </w:r>
    </w:p>
    <w:p w14:paraId="2DCE11A7" w14:textId="77777777" w:rsidR="00BD5823" w:rsidRDefault="00BD5823"/>
    <w:sectPr w:rsidR="00BD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F8"/>
    <w:multiLevelType w:val="multilevel"/>
    <w:tmpl w:val="9A8C55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2A40"/>
    <w:multiLevelType w:val="multilevel"/>
    <w:tmpl w:val="45C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461BB"/>
    <w:multiLevelType w:val="multilevel"/>
    <w:tmpl w:val="1BA4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8427A"/>
    <w:multiLevelType w:val="multilevel"/>
    <w:tmpl w:val="EC1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67964"/>
    <w:multiLevelType w:val="multilevel"/>
    <w:tmpl w:val="9C444C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E4C01"/>
    <w:multiLevelType w:val="multilevel"/>
    <w:tmpl w:val="1E6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C2F47"/>
    <w:multiLevelType w:val="multilevel"/>
    <w:tmpl w:val="F3B05A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23AC2"/>
    <w:multiLevelType w:val="multilevel"/>
    <w:tmpl w:val="D048E5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D656F"/>
    <w:multiLevelType w:val="multilevel"/>
    <w:tmpl w:val="19B4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A47B87"/>
    <w:multiLevelType w:val="multilevel"/>
    <w:tmpl w:val="762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5211FB"/>
    <w:multiLevelType w:val="multilevel"/>
    <w:tmpl w:val="E0CCA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67BEA"/>
    <w:multiLevelType w:val="multilevel"/>
    <w:tmpl w:val="3E9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DB335C"/>
    <w:multiLevelType w:val="multilevel"/>
    <w:tmpl w:val="04C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A79FB"/>
    <w:multiLevelType w:val="multilevel"/>
    <w:tmpl w:val="BA7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A33C1C"/>
    <w:multiLevelType w:val="multilevel"/>
    <w:tmpl w:val="649400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302F0F"/>
    <w:multiLevelType w:val="multilevel"/>
    <w:tmpl w:val="145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9628B"/>
    <w:multiLevelType w:val="multilevel"/>
    <w:tmpl w:val="5230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B223E1"/>
    <w:multiLevelType w:val="multilevel"/>
    <w:tmpl w:val="6ED210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C5E3F"/>
    <w:multiLevelType w:val="multilevel"/>
    <w:tmpl w:val="9DE4D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E4AEB"/>
    <w:multiLevelType w:val="multilevel"/>
    <w:tmpl w:val="D618F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971AB"/>
    <w:multiLevelType w:val="multilevel"/>
    <w:tmpl w:val="185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C071A"/>
    <w:multiLevelType w:val="multilevel"/>
    <w:tmpl w:val="3FE6E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5D667E"/>
    <w:multiLevelType w:val="multilevel"/>
    <w:tmpl w:val="65D62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C206A0"/>
    <w:multiLevelType w:val="multilevel"/>
    <w:tmpl w:val="938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24637C"/>
    <w:multiLevelType w:val="multilevel"/>
    <w:tmpl w:val="CE4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4465277">
    <w:abstractNumId w:val="5"/>
  </w:num>
  <w:num w:numId="2" w16cid:durableId="2061711328">
    <w:abstractNumId w:val="24"/>
  </w:num>
  <w:num w:numId="3" w16cid:durableId="606932386">
    <w:abstractNumId w:val="19"/>
  </w:num>
  <w:num w:numId="4" w16cid:durableId="450318176">
    <w:abstractNumId w:val="8"/>
  </w:num>
  <w:num w:numId="5" w16cid:durableId="1447191199">
    <w:abstractNumId w:val="18"/>
  </w:num>
  <w:num w:numId="6" w16cid:durableId="1844393696">
    <w:abstractNumId w:val="12"/>
  </w:num>
  <w:num w:numId="7" w16cid:durableId="895624844">
    <w:abstractNumId w:val="21"/>
  </w:num>
  <w:num w:numId="8" w16cid:durableId="922370194">
    <w:abstractNumId w:val="23"/>
  </w:num>
  <w:num w:numId="9" w16cid:durableId="1976908187">
    <w:abstractNumId w:val="22"/>
  </w:num>
  <w:num w:numId="10" w16cid:durableId="486481569">
    <w:abstractNumId w:val="11"/>
  </w:num>
  <w:num w:numId="11" w16cid:durableId="1079986277">
    <w:abstractNumId w:val="10"/>
  </w:num>
  <w:num w:numId="12" w16cid:durableId="149832069">
    <w:abstractNumId w:val="1"/>
  </w:num>
  <w:num w:numId="13" w16cid:durableId="1463302482">
    <w:abstractNumId w:val="17"/>
  </w:num>
  <w:num w:numId="14" w16cid:durableId="1003430483">
    <w:abstractNumId w:val="9"/>
  </w:num>
  <w:num w:numId="15" w16cid:durableId="1984382095">
    <w:abstractNumId w:val="4"/>
  </w:num>
  <w:num w:numId="16" w16cid:durableId="673067275">
    <w:abstractNumId w:val="20"/>
  </w:num>
  <w:num w:numId="17" w16cid:durableId="1193878693">
    <w:abstractNumId w:val="6"/>
  </w:num>
  <w:num w:numId="18" w16cid:durableId="130363611">
    <w:abstractNumId w:val="3"/>
  </w:num>
  <w:num w:numId="19" w16cid:durableId="153691963">
    <w:abstractNumId w:val="0"/>
  </w:num>
  <w:num w:numId="20" w16cid:durableId="723137183">
    <w:abstractNumId w:val="13"/>
  </w:num>
  <w:num w:numId="21" w16cid:durableId="991298067">
    <w:abstractNumId w:val="14"/>
  </w:num>
  <w:num w:numId="22" w16cid:durableId="786317206">
    <w:abstractNumId w:val="15"/>
  </w:num>
  <w:num w:numId="23" w16cid:durableId="2109888863">
    <w:abstractNumId w:val="7"/>
  </w:num>
  <w:num w:numId="24" w16cid:durableId="1926450544">
    <w:abstractNumId w:val="16"/>
  </w:num>
  <w:num w:numId="25" w16cid:durableId="55837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23"/>
    <w:rsid w:val="00322EC4"/>
    <w:rsid w:val="00B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D73C"/>
  <w15:chartTrackingRefBased/>
  <w15:docId w15:val="{FB24B4DF-42C8-4E46-B062-2774F566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8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3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0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ma.org.uk/advice-and-support/gp-practices/communication-with-patients/following-the-accessible-information-stand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John (MILLFIELD SURGERY)</dc:creator>
  <cp:keywords/>
  <dc:description/>
  <cp:lastModifiedBy>MORRIS, John (MILLFIELD SURGERY)</cp:lastModifiedBy>
  <cp:revision>1</cp:revision>
  <dcterms:created xsi:type="dcterms:W3CDTF">2025-10-21T17:46:00Z</dcterms:created>
  <dcterms:modified xsi:type="dcterms:W3CDTF">2025-10-21T17:47:00Z</dcterms:modified>
</cp:coreProperties>
</file>